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D4" w:rsidRPr="001615D4" w:rsidRDefault="001615D4" w:rsidP="001615D4">
      <w:pPr>
        <w:pStyle w:val="PHEBodycopy"/>
        <w:spacing w:after="0"/>
        <w:ind w:right="0"/>
        <w:jc w:val="center"/>
        <w:rPr>
          <w:sz w:val="28"/>
          <w:lang w:eastAsia="en-US"/>
        </w:rPr>
      </w:pPr>
      <w:r w:rsidRPr="001615D4">
        <w:rPr>
          <w:sz w:val="28"/>
          <w:lang w:eastAsia="en-US"/>
        </w:rPr>
        <w:t>Explanatory Notes for Versions 11 and 12</w:t>
      </w:r>
      <w:r>
        <w:rPr>
          <w:sz w:val="28"/>
          <w:lang w:eastAsia="en-US"/>
        </w:rPr>
        <w:t xml:space="preserve"> of the target CNR calculator</w:t>
      </w:r>
    </w:p>
    <w:p w:rsidR="001615D4" w:rsidRDefault="001615D4" w:rsidP="005068E7">
      <w:pPr>
        <w:pStyle w:val="PHEBodycopy"/>
        <w:spacing w:after="0"/>
        <w:ind w:right="0"/>
        <w:jc w:val="both"/>
        <w:rPr>
          <w:color w:val="A00054"/>
          <w:sz w:val="28"/>
          <w:lang w:eastAsia="en-US"/>
        </w:rPr>
      </w:pPr>
    </w:p>
    <w:p w:rsidR="001D500D" w:rsidRDefault="00490AB9" w:rsidP="005068E7">
      <w:pPr>
        <w:pStyle w:val="PHEBodycopy"/>
        <w:spacing w:after="0"/>
        <w:ind w:right="0"/>
        <w:jc w:val="both"/>
        <w:rPr>
          <w:color w:val="A00054"/>
          <w:sz w:val="28"/>
          <w:lang w:eastAsia="en-US"/>
        </w:rPr>
      </w:pPr>
      <w:r w:rsidRPr="00490AB9">
        <w:rPr>
          <w:color w:val="A00054"/>
          <w:sz w:val="28"/>
          <w:lang w:eastAsia="en-US"/>
        </w:rPr>
        <w:t>Target CNR Calculator</w:t>
      </w:r>
      <w:r w:rsidR="001D500D">
        <w:rPr>
          <w:color w:val="A00054"/>
          <w:sz w:val="28"/>
          <w:lang w:eastAsia="en-US"/>
        </w:rPr>
        <w:t xml:space="preserve"> Version 1</w:t>
      </w:r>
      <w:r w:rsidR="001615D4">
        <w:rPr>
          <w:color w:val="A00054"/>
          <w:sz w:val="28"/>
          <w:lang w:eastAsia="en-US"/>
        </w:rPr>
        <w:t>2</w:t>
      </w:r>
    </w:p>
    <w:p w:rsidR="005068E7" w:rsidRDefault="005068E7" w:rsidP="005068E7">
      <w:pPr>
        <w:pStyle w:val="PHEBodycopy"/>
        <w:spacing w:after="0"/>
        <w:ind w:right="0"/>
        <w:jc w:val="both"/>
        <w:rPr>
          <w:color w:val="A00054"/>
          <w:sz w:val="28"/>
          <w:lang w:eastAsia="en-US"/>
        </w:rPr>
      </w:pPr>
    </w:p>
    <w:p w:rsidR="001615D4" w:rsidRPr="001615D4" w:rsidRDefault="001615D4" w:rsidP="001615D4">
      <w:pPr>
        <w:pStyle w:val="PHEBodycopy"/>
        <w:spacing w:after="0"/>
        <w:ind w:right="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only change to version 12 from Version 11 is that effective attenuation coefficients for gold discs in the CDMAM are now provided for the target/filter combination of Rh/Ag from 25 to 34 kV as used in the GE Pristina system.</w:t>
      </w:r>
      <w:bookmarkStart w:id="0" w:name="_GoBack"/>
      <w:bookmarkEnd w:id="0"/>
    </w:p>
    <w:p w:rsidR="001615D4" w:rsidRDefault="001615D4" w:rsidP="00490AB9">
      <w:pPr>
        <w:jc w:val="both"/>
      </w:pPr>
    </w:p>
    <w:p w:rsidR="001615D4" w:rsidRDefault="001615D4" w:rsidP="001615D4">
      <w:pPr>
        <w:pStyle w:val="PHEBodycopy"/>
        <w:spacing w:after="0"/>
        <w:ind w:right="0"/>
        <w:jc w:val="both"/>
        <w:rPr>
          <w:color w:val="A00054"/>
          <w:sz w:val="28"/>
          <w:lang w:eastAsia="en-US"/>
        </w:rPr>
      </w:pPr>
      <w:r w:rsidRPr="00490AB9">
        <w:rPr>
          <w:color w:val="A00054"/>
          <w:sz w:val="28"/>
          <w:lang w:eastAsia="en-US"/>
        </w:rPr>
        <w:t>Target CNR Calculator</w:t>
      </w:r>
      <w:r>
        <w:rPr>
          <w:color w:val="A00054"/>
          <w:sz w:val="28"/>
          <w:lang w:eastAsia="en-US"/>
        </w:rPr>
        <w:t xml:space="preserve"> Version 1</w:t>
      </w:r>
      <w:r>
        <w:rPr>
          <w:color w:val="A00054"/>
          <w:sz w:val="28"/>
          <w:lang w:eastAsia="en-US"/>
        </w:rPr>
        <w:t>1</w:t>
      </w:r>
    </w:p>
    <w:p w:rsidR="001615D4" w:rsidRPr="001615D4" w:rsidRDefault="001615D4" w:rsidP="001615D4">
      <w:pPr>
        <w:pStyle w:val="PHEBodycopy"/>
        <w:spacing w:after="0"/>
        <w:ind w:right="0"/>
        <w:jc w:val="both"/>
        <w:rPr>
          <w:color w:val="A00054"/>
          <w:sz w:val="28"/>
          <w:lang w:eastAsia="en-US"/>
        </w:rPr>
      </w:pPr>
    </w:p>
    <w:p w:rsidR="00490AB9" w:rsidRDefault="00490AB9" w:rsidP="00490AB9">
      <w:pPr>
        <w:jc w:val="both"/>
      </w:pPr>
      <w:r w:rsidRPr="00D30E2F">
        <w:t>In order to apply the standards in the European protocol</w:t>
      </w:r>
      <w:r w:rsidR="00E02B2B" w:rsidRPr="00E02B2B">
        <w:rPr>
          <w:vertAlign w:val="superscript"/>
        </w:rPr>
        <w:t>1</w:t>
      </w:r>
      <w:proofErr w:type="gramStart"/>
      <w:r w:rsidR="00E02B2B" w:rsidRPr="00E02B2B">
        <w:rPr>
          <w:vertAlign w:val="superscript"/>
        </w:rPr>
        <w:t>,2</w:t>
      </w:r>
      <w:proofErr w:type="gramEnd"/>
      <w:r w:rsidRPr="00D30E2F">
        <w:t xml:space="preserve">, it is necessary to relate the image quality measured using the CDMAM for an equivalent breast thickness of 60mm, to that for other breast thicknesses </w:t>
      </w:r>
      <w:r>
        <w:t>using</w:t>
      </w:r>
      <w:r w:rsidRPr="00D30E2F">
        <w:t xml:space="preserve"> </w:t>
      </w:r>
      <w:r w:rsidR="00220123">
        <w:t>contrast-to-noise (</w:t>
      </w:r>
      <w:r w:rsidRPr="00D30E2F">
        <w:t>CNR</w:t>
      </w:r>
      <w:r w:rsidR="00220123">
        <w:t>)</w:t>
      </w:r>
      <w:r w:rsidRPr="00D30E2F">
        <w:t xml:space="preserve"> measurements.</w:t>
      </w:r>
      <w:r>
        <w:t xml:space="preserve"> </w:t>
      </w:r>
      <w:r w:rsidR="00220123">
        <w:t xml:space="preserve">CNR is sometimes referred to as signal difference to noise ratio (SDNR). </w:t>
      </w:r>
      <w:r w:rsidR="00C63B06">
        <w:t>The method of measuring CNR in the NHSBSP protocol</w:t>
      </w:r>
      <w:r w:rsidR="00C63B06" w:rsidRPr="00C63B06">
        <w:rPr>
          <w:vertAlign w:val="superscript"/>
        </w:rPr>
        <w:t>3</w:t>
      </w:r>
      <w:r w:rsidR="00C63B06">
        <w:t xml:space="preserve"> is the same as that described in the</w:t>
      </w:r>
      <w:r w:rsidR="00C63B06" w:rsidRPr="00C63B06">
        <w:t xml:space="preserve"> </w:t>
      </w:r>
      <w:r w:rsidR="00C63B06">
        <w:t xml:space="preserve">European protocol. </w:t>
      </w:r>
      <w:r>
        <w:t>The European protocol gives the relationship between threshold contrast and CNR measurements. This enables the calculation of a target CNR value for a particular level of image quality</w:t>
      </w:r>
      <w:r w:rsidR="00ED576C" w:rsidRPr="00ED576C">
        <w:t xml:space="preserve"> </w:t>
      </w:r>
      <w:r w:rsidR="00ED576C">
        <w:t>on a particular mammography system</w:t>
      </w:r>
      <w:r>
        <w:t xml:space="preserve">, which can be compared to CNR measurements made at other breast thicknesses. </w:t>
      </w:r>
      <w:r w:rsidR="00E02B2B">
        <w:t xml:space="preserve">A spreadsheet is provided here to enable this task. The contrast </w:t>
      </w:r>
      <w:r w:rsidR="00C63B06">
        <w:t>for a particular gold thickness</w:t>
      </w:r>
      <w:r w:rsidR="00E02B2B">
        <w:t xml:space="preserve"> is </w:t>
      </w:r>
      <w:r>
        <w:t xml:space="preserve">calculated using Equation 1, and </w:t>
      </w:r>
      <w:r w:rsidR="00E02B2B">
        <w:t xml:space="preserve">the </w:t>
      </w:r>
      <w:r>
        <w:t>target CNR is calculated using Equation 2.</w:t>
      </w:r>
    </w:p>
    <w:p w:rsidR="00490AB9" w:rsidRDefault="00490AB9" w:rsidP="00490AB9">
      <w:pPr>
        <w:jc w:val="both"/>
      </w:pPr>
    </w:p>
    <w:p w:rsidR="00490AB9" w:rsidRPr="00AC3422" w:rsidRDefault="00490AB9" w:rsidP="00490AB9">
      <w:pPr>
        <w:jc w:val="both"/>
        <w:rPr>
          <w:rFonts w:ascii="Cambria" w:hAnsi="Cambria" w:cs="Times New Roman"/>
        </w:rPr>
      </w:pPr>
      <m:oMath>
        <m:r>
          <m:rPr>
            <m:sty m:val="p"/>
          </m:rPr>
          <w:rPr>
            <w:rFonts w:ascii="Cambria Math"/>
          </w:rPr>
          <m:t>Contrast=1</m:t>
        </m:r>
        <m:r>
          <m:rPr>
            <m:sty m:val="p"/>
          </m:rPr>
          <w:rPr>
            <w:rFonts w:ascii="Cambria Math"/>
          </w:rPr>
          <m:t>-</m:t>
        </m:r>
        <m:sSup>
          <m:sSupPr>
            <m:ctrlPr>
              <w:rPr>
                <w:rFonts w:ascii="Cambria Math" w:hAnsi="Cambria Math"/>
              </w:rPr>
            </m:ctrlPr>
          </m:sSupPr>
          <m:e>
            <m:r>
              <m:rPr>
                <m:sty m:val="p"/>
              </m:rPr>
              <w:rPr>
                <w:rFonts w:ascii="Cambria Math"/>
              </w:rPr>
              <m:t>e</m:t>
            </m:r>
          </m:e>
          <m:sup>
            <m:r>
              <m:rPr>
                <m:sty m:val="p"/>
              </m:rPr>
              <w:rPr>
                <w:rFonts w:ascii="Cambria Math"/>
              </w:rPr>
              <m:t>-μ</m:t>
            </m:r>
            <m:r>
              <m:rPr>
                <m:sty m:val="p"/>
              </m:rPr>
              <w:rPr>
                <w:rFonts w:ascii="Cambria Math"/>
              </w:rPr>
              <m:t>t</m:t>
            </m:r>
          </m:sup>
        </m:sSup>
      </m:oMath>
      <w:r w:rsidR="005068E7">
        <w:rPr>
          <w:rFonts w:ascii="Cambria" w:hAnsi="Cambria" w:cs="Times New Roman"/>
        </w:rPr>
        <w:t xml:space="preserve"> </w:t>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472335">
        <w:t>(</w:t>
      </w:r>
      <w:r>
        <w:t>1</w:t>
      </w:r>
      <w:r w:rsidRPr="00472335">
        <w:t>)</w:t>
      </w:r>
    </w:p>
    <w:p w:rsidR="00490AB9" w:rsidRPr="00AC3422" w:rsidRDefault="00490AB9" w:rsidP="00490AB9">
      <w:pPr>
        <w:jc w:val="both"/>
      </w:pPr>
      <w:proofErr w:type="gramStart"/>
      <w:r>
        <w:t>where</w:t>
      </w:r>
      <w:proofErr w:type="gramEnd"/>
      <w:r>
        <w:t xml:space="preserve"> µ is the effective attenuation coefficient for gold, and t is the gold thickness.</w:t>
      </w:r>
    </w:p>
    <w:p w:rsidR="00490AB9" w:rsidRDefault="00490AB9" w:rsidP="00490AB9">
      <w:pPr>
        <w:jc w:val="both"/>
      </w:pPr>
    </w:p>
    <w:p w:rsidR="00490AB9" w:rsidRPr="00AC3422" w:rsidRDefault="001615D4" w:rsidP="00490AB9">
      <w:pPr>
        <w:spacing w:line="720" w:lineRule="auto"/>
        <w:rPr>
          <w:rFonts w:ascii="Cambria" w:hAnsi="Cambria"/>
          <w:szCs w:val="24"/>
        </w:rPr>
      </w:pPr>
      <m:oMath>
        <m:sSub>
          <m:sSubPr>
            <m:ctrlPr>
              <w:rPr>
                <w:rFonts w:ascii="Cambria Math" w:hAnsi="Cambria Math"/>
                <w:szCs w:val="24"/>
              </w:rPr>
            </m:ctrlPr>
          </m:sSubPr>
          <m:e>
            <m:r>
              <m:rPr>
                <m:sty m:val="p"/>
              </m:rPr>
              <w:rPr>
                <w:rFonts w:ascii="Cambria Math"/>
                <w:szCs w:val="24"/>
              </w:rPr>
              <m:t>CNR</m:t>
            </m:r>
          </m:e>
          <m:sub>
            <m:r>
              <m:rPr>
                <m:sty m:val="p"/>
              </m:rPr>
              <w:rPr>
                <w:rFonts w:ascii="Cambria Math"/>
                <w:szCs w:val="24"/>
              </w:rPr>
              <m:t>target</m:t>
            </m:r>
          </m:sub>
        </m:sSub>
        <m:r>
          <m:rPr>
            <m:sty m:val="p"/>
          </m:rPr>
          <w:rPr>
            <w:rFonts w:ascii="Cambria Math"/>
            <w:szCs w:val="24"/>
          </w:rPr>
          <m:t>=</m:t>
        </m:r>
        <m:f>
          <m:fPr>
            <m:ctrlPr>
              <w:rPr>
                <w:rFonts w:ascii="Cambria Math" w:hAnsi="Cambria Math"/>
                <w:szCs w:val="24"/>
              </w:rPr>
            </m:ctrlPr>
          </m:fPr>
          <m:num>
            <m:sSub>
              <m:sSubPr>
                <m:ctrlPr>
                  <w:rPr>
                    <w:rFonts w:ascii="Cambria Math" w:hAnsi="Cambria Math"/>
                    <w:szCs w:val="24"/>
                  </w:rPr>
                </m:ctrlPr>
              </m:sSubPr>
              <m:e>
                <m:r>
                  <m:rPr>
                    <m:sty m:val="p"/>
                  </m:rPr>
                  <w:rPr>
                    <w:rFonts w:ascii="Cambria Math"/>
                    <w:szCs w:val="24"/>
                  </w:rPr>
                  <m:t>CNR</m:t>
                </m:r>
              </m:e>
              <m:sub>
                <m:r>
                  <m:rPr>
                    <m:sty m:val="p"/>
                  </m:rPr>
                  <w:rPr>
                    <w:rFonts w:ascii="Cambria Math"/>
                    <w:szCs w:val="24"/>
                  </w:rPr>
                  <m:t>measured</m:t>
                </m:r>
              </m:sub>
            </m:sSub>
            <m:r>
              <m:rPr>
                <m:sty m:val="p"/>
              </m:rPr>
              <w:rPr>
                <w:rFonts w:ascii="Cambria Math"/>
                <w:szCs w:val="24"/>
              </w:rPr>
              <m:t xml:space="preserve"> </m:t>
            </m:r>
            <m:r>
              <m:rPr>
                <m:sty m:val="p"/>
              </m:rPr>
              <w:rPr>
                <w:rFonts w:ascii="Cambria Math"/>
                <w:szCs w:val="24"/>
              </w:rPr>
              <m:t>×</m:t>
            </m:r>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TC</m:t>
                </m:r>
              </m:e>
              <m:sub>
                <m:r>
                  <m:rPr>
                    <m:sty m:val="p"/>
                  </m:rPr>
                  <w:rPr>
                    <w:rFonts w:ascii="Cambria Math"/>
                    <w:szCs w:val="24"/>
                  </w:rPr>
                  <m:t>measured</m:t>
                </m:r>
              </m:sub>
            </m:sSub>
          </m:num>
          <m:den>
            <m:sSub>
              <m:sSubPr>
                <m:ctrlPr>
                  <w:rPr>
                    <w:rFonts w:ascii="Cambria Math" w:hAnsi="Cambria Math"/>
                    <w:szCs w:val="24"/>
                  </w:rPr>
                </m:ctrlPr>
              </m:sSubPr>
              <m:e>
                <m:r>
                  <m:rPr>
                    <m:sty m:val="p"/>
                  </m:rPr>
                  <w:rPr>
                    <w:rFonts w:ascii="Cambria Math"/>
                    <w:szCs w:val="24"/>
                  </w:rPr>
                  <m:t>TC</m:t>
                </m:r>
              </m:e>
              <m:sub>
                <m:r>
                  <m:rPr>
                    <m:sty m:val="p"/>
                  </m:rPr>
                  <w:rPr>
                    <w:rFonts w:ascii="Cambria Math"/>
                    <w:szCs w:val="24"/>
                  </w:rPr>
                  <m:t>target</m:t>
                </m:r>
              </m:sub>
            </m:sSub>
          </m:den>
        </m:f>
      </m:oMath>
      <w:r w:rsidR="00E02B2B">
        <w:rPr>
          <w:rFonts w:ascii="Cambria" w:hAnsi="Cambria"/>
          <w:szCs w:val="24"/>
        </w:rPr>
        <w:tab/>
      </w:r>
      <w:r w:rsidR="00E02B2B">
        <w:rPr>
          <w:rFonts w:ascii="Cambria" w:hAnsi="Cambria"/>
          <w:szCs w:val="24"/>
        </w:rPr>
        <w:tab/>
      </w:r>
      <w:r w:rsidR="00490AB9" w:rsidRPr="00AC3422">
        <w:rPr>
          <w:rFonts w:ascii="Cambria" w:hAnsi="Cambria"/>
          <w:szCs w:val="24"/>
        </w:rPr>
        <w:tab/>
        <w:t xml:space="preserve">   </w:t>
      </w:r>
      <w:r w:rsidR="00490AB9" w:rsidRPr="00AC3422">
        <w:rPr>
          <w:rFonts w:ascii="Cambria" w:hAnsi="Cambria"/>
          <w:szCs w:val="24"/>
        </w:rPr>
        <w:tab/>
      </w:r>
      <w:r w:rsidR="00490AB9" w:rsidRPr="00AC3422">
        <w:rPr>
          <w:rFonts w:ascii="Cambria" w:hAnsi="Cambria"/>
          <w:szCs w:val="24"/>
        </w:rPr>
        <w:tab/>
      </w:r>
      <w:r w:rsidR="00490AB9" w:rsidRPr="00AC3422">
        <w:rPr>
          <w:rFonts w:ascii="Cambria" w:hAnsi="Cambria"/>
          <w:szCs w:val="24"/>
        </w:rPr>
        <w:tab/>
      </w:r>
      <w:r w:rsidR="00490AB9" w:rsidRPr="00AC3422">
        <w:rPr>
          <w:rFonts w:ascii="Cambria" w:hAnsi="Cambria"/>
          <w:szCs w:val="24"/>
        </w:rPr>
        <w:tab/>
      </w:r>
      <w:r w:rsidR="00490AB9" w:rsidRPr="00AC3422">
        <w:rPr>
          <w:rFonts w:ascii="Cambria" w:hAnsi="Cambria"/>
          <w:szCs w:val="24"/>
        </w:rPr>
        <w:tab/>
      </w:r>
      <w:r w:rsidR="00490AB9" w:rsidRPr="00472335">
        <w:rPr>
          <w:szCs w:val="24"/>
        </w:rPr>
        <w:t>(</w:t>
      </w:r>
      <w:r w:rsidR="00490AB9">
        <w:rPr>
          <w:szCs w:val="24"/>
        </w:rPr>
        <w:t>2</w:t>
      </w:r>
      <w:r w:rsidR="00490AB9" w:rsidRPr="00472335">
        <w:rPr>
          <w:szCs w:val="24"/>
        </w:rPr>
        <w:t>)</w:t>
      </w:r>
    </w:p>
    <w:p w:rsidR="00490AB9" w:rsidRDefault="00490AB9" w:rsidP="00E02B2B">
      <w:pPr>
        <w:jc w:val="both"/>
      </w:pPr>
      <w:r>
        <w:t xml:space="preserve">where </w:t>
      </w:r>
      <w:proofErr w:type="spellStart"/>
      <w:r w:rsidRPr="00F704AE">
        <w:rPr>
          <w:i/>
        </w:rPr>
        <w:t>CNR</w:t>
      </w:r>
      <w:r w:rsidRPr="00F704AE">
        <w:rPr>
          <w:i/>
          <w:vertAlign w:val="subscript"/>
        </w:rPr>
        <w:t>measured</w:t>
      </w:r>
      <w:proofErr w:type="spellEnd"/>
      <w:r>
        <w:t xml:space="preserve"> is the CNR for a 60 mm equivalent breast</w:t>
      </w:r>
      <w:r w:rsidR="00E02B2B">
        <w:t xml:space="preserve"> (simulated using a 50 mm thickness of PMMA)</w:t>
      </w:r>
      <w:r>
        <w:t xml:space="preserve">, </w:t>
      </w:r>
      <w:proofErr w:type="spellStart"/>
      <w:r w:rsidRPr="00F704AE">
        <w:rPr>
          <w:i/>
        </w:rPr>
        <w:t>TC</w:t>
      </w:r>
      <w:r w:rsidRPr="00F704AE">
        <w:rPr>
          <w:i/>
          <w:vertAlign w:val="subscript"/>
        </w:rPr>
        <w:t>measured</w:t>
      </w:r>
      <w:proofErr w:type="spellEnd"/>
      <w:r>
        <w:t xml:space="preserve"> is the threshold contrast calculated using the threshold gold thickness for a 0.1 mm diameter detail, as measured using the CDMAM at the same dose as used for </w:t>
      </w:r>
      <w:proofErr w:type="spellStart"/>
      <w:r w:rsidRPr="00F704AE">
        <w:rPr>
          <w:i/>
        </w:rPr>
        <w:t>CNR</w:t>
      </w:r>
      <w:r w:rsidRPr="00F704AE">
        <w:rPr>
          <w:i/>
          <w:vertAlign w:val="subscript"/>
        </w:rPr>
        <w:t>measured</w:t>
      </w:r>
      <w:proofErr w:type="spellEnd"/>
      <w:r>
        <w:t xml:space="preserve">, and </w:t>
      </w:r>
      <w:proofErr w:type="spellStart"/>
      <w:r w:rsidRPr="00F704AE">
        <w:rPr>
          <w:i/>
        </w:rPr>
        <w:t>TC</w:t>
      </w:r>
      <w:r w:rsidRPr="00F704AE">
        <w:rPr>
          <w:i/>
          <w:vertAlign w:val="subscript"/>
        </w:rPr>
        <w:t>target</w:t>
      </w:r>
      <w:proofErr w:type="spellEnd"/>
      <w:r>
        <w:t xml:space="preserve"> is the calculated threshold contrast corresponding to the threshold gold thickness required to meet either the minimum acceptable or achievable level of image quality as defined in the UK standard.</w:t>
      </w:r>
    </w:p>
    <w:p w:rsidR="00490AB9" w:rsidRDefault="00490AB9" w:rsidP="00490AB9">
      <w:pPr>
        <w:jc w:val="both"/>
      </w:pPr>
      <w:r w:rsidRPr="009421BE">
        <w:t xml:space="preserve">This calculation </w:t>
      </w:r>
      <w:r w:rsidR="00E02B2B">
        <w:t>is</w:t>
      </w:r>
      <w:r w:rsidRPr="009421BE">
        <w:t xml:space="preserve"> carried out using the 0.1mm detail threshold gold thickness because this detail size is generally regarded as the most critical of the detail diameters for which performance standards are set.</w:t>
      </w:r>
    </w:p>
    <w:p w:rsidR="00490AB9" w:rsidRDefault="00490AB9" w:rsidP="00490AB9">
      <w:pPr>
        <w:jc w:val="both"/>
      </w:pPr>
      <w:r w:rsidRPr="009421BE">
        <w:t xml:space="preserve">The effective attenuation coefficient for gold used in Equation </w:t>
      </w:r>
      <w:r>
        <w:t>1</w:t>
      </w:r>
      <w:r w:rsidRPr="009421BE">
        <w:t xml:space="preserve"> depends on the beam quality used for the exposure, and </w:t>
      </w:r>
      <w:r w:rsidR="00E02B2B">
        <w:t>is</w:t>
      </w:r>
      <w:r w:rsidRPr="009421BE">
        <w:t xml:space="preserve"> selected from a table of values </w:t>
      </w:r>
      <w:r w:rsidR="00E02B2B">
        <w:t>in the spreadsheet</w:t>
      </w:r>
      <w:r w:rsidRPr="009421BE">
        <w:t xml:space="preserve">. These values were calculated </w:t>
      </w:r>
      <w:r w:rsidR="00E02B2B">
        <w:t xml:space="preserve">by DR Dance and KC Young </w:t>
      </w:r>
      <w:r w:rsidRPr="009421BE">
        <w:t>with 3mm PMMA representing the compression paddle,</w:t>
      </w:r>
      <w:r>
        <w:t xml:space="preserve"> using </w:t>
      </w:r>
      <w:r>
        <w:lastRenderedPageBreak/>
        <w:t xml:space="preserve">spectra from Boone </w:t>
      </w:r>
      <w:proofErr w:type="gramStart"/>
      <w:r>
        <w:t>et</w:t>
      </w:r>
      <w:proofErr w:type="gramEnd"/>
      <w:r>
        <w:t xml:space="preserve"> al</w:t>
      </w:r>
      <w:r w:rsidR="00C63B06">
        <w:rPr>
          <w:vertAlign w:val="superscript"/>
        </w:rPr>
        <w:t>4</w:t>
      </w:r>
      <w:r w:rsidRPr="009421BE">
        <w:t xml:space="preserve"> and attenuation coefficients for materials in the test objects (aluminium, gold, PMMA) from Berger et al</w:t>
      </w:r>
      <w:r w:rsidR="00C63B06">
        <w:rPr>
          <w:vertAlign w:val="superscript"/>
        </w:rPr>
        <w:t>5</w:t>
      </w:r>
      <w:r w:rsidRPr="009421BE">
        <w:t>.</w:t>
      </w:r>
    </w:p>
    <w:p w:rsidR="003F47D9" w:rsidRPr="003F47D9" w:rsidRDefault="003F47D9" w:rsidP="00490AB9">
      <w:pPr>
        <w:jc w:val="both"/>
        <w:rPr>
          <w:b/>
          <w:i/>
        </w:rPr>
      </w:pPr>
      <w:r w:rsidRPr="003F47D9">
        <w:rPr>
          <w:b/>
          <w:i/>
        </w:rPr>
        <w:t>Dose correction</w:t>
      </w:r>
    </w:p>
    <w:p w:rsidR="00490AB9" w:rsidRDefault="003F47D9">
      <w:r>
        <w:t xml:space="preserve">In version 11 of this spreadsheet I have added a modification to provide a dose correction should the mAs used to expose the PMMA slabs for the CNR measurement be different from that used for the CDMAM exposures. This typically arises if one exposure is manually selected and the other is selected by the AEC. In this case the CNR measured is </w:t>
      </w:r>
      <w:r w:rsidR="001D0370">
        <w:t>corrected</w:t>
      </w:r>
      <w:r>
        <w:t xml:space="preserve"> to what it would have been at the exposure </w:t>
      </w:r>
      <w:r w:rsidR="001D0370">
        <w:t>used for the</w:t>
      </w:r>
      <w:r>
        <w:t xml:space="preserve"> CDMAM using equation 3.</w:t>
      </w:r>
      <w:r w:rsidR="001D500D">
        <w:t xml:space="preserve"> This assumes that the </w:t>
      </w:r>
      <w:r w:rsidR="001D0370">
        <w:t>CNR</w:t>
      </w:r>
      <w:r w:rsidR="001D500D">
        <w:t xml:space="preserve"> </w:t>
      </w:r>
      <w:r w:rsidR="001D0370">
        <w:t>is</w:t>
      </w:r>
      <w:r w:rsidR="001D500D">
        <w:t xml:space="preserve"> proportional to the square root of the dose and this will be </w:t>
      </w:r>
      <w:r w:rsidR="001D0370">
        <w:t>approximately true</w:t>
      </w:r>
      <w:r w:rsidR="001D500D">
        <w:t xml:space="preserve"> where quantum noise dominates and for moderate dose differences. Thus equation 2 now becomes equation 4.</w:t>
      </w:r>
    </w:p>
    <w:p w:rsidR="003F47D9" w:rsidRPr="00AC3422" w:rsidRDefault="001615D4" w:rsidP="003F47D9">
      <w:pPr>
        <w:spacing w:line="720" w:lineRule="auto"/>
        <w:rPr>
          <w:rFonts w:ascii="Cambria" w:hAnsi="Cambria"/>
          <w:szCs w:val="24"/>
        </w:rPr>
      </w:pPr>
      <m:oMath>
        <m:sSub>
          <m:sSubPr>
            <m:ctrlPr>
              <w:rPr>
                <w:rFonts w:ascii="Cambria Math" w:hAnsi="Cambria Math"/>
                <w:szCs w:val="24"/>
              </w:rPr>
            </m:ctrlPr>
          </m:sSubPr>
          <m:e>
            <m:r>
              <m:rPr>
                <m:sty m:val="p"/>
              </m:rPr>
              <w:rPr>
                <w:rFonts w:ascii="Cambria Math"/>
                <w:szCs w:val="24"/>
              </w:rPr>
              <m:t>CNR</m:t>
            </m:r>
          </m:e>
          <m:sub>
            <m:r>
              <m:rPr>
                <m:sty m:val="p"/>
              </m:rPr>
              <w:rPr>
                <w:rFonts w:ascii="Cambria Math"/>
                <w:szCs w:val="24"/>
              </w:rPr>
              <m:t>corrected</m:t>
            </m:r>
          </m:sub>
        </m:sSub>
        <m:r>
          <m:rPr>
            <m:sty m:val="p"/>
          </m:rPr>
          <w:rPr>
            <w:rFonts w:ascii="Cambria Math"/>
            <w:szCs w:val="24"/>
          </w:rPr>
          <m:t>=</m:t>
        </m:r>
        <m:sSub>
          <m:sSubPr>
            <m:ctrlPr>
              <w:rPr>
                <w:rFonts w:ascii="Cambria Math" w:hAnsi="Cambria Math"/>
                <w:szCs w:val="24"/>
              </w:rPr>
            </m:ctrlPr>
          </m:sSubPr>
          <m:e>
            <m:r>
              <m:rPr>
                <m:sty m:val="p"/>
              </m:rPr>
              <w:rPr>
                <w:rFonts w:ascii="Cambria Math"/>
                <w:szCs w:val="24"/>
              </w:rPr>
              <m:t>CNR</m:t>
            </m:r>
          </m:e>
          <m:sub>
            <m:r>
              <m:rPr>
                <m:sty m:val="p"/>
              </m:rPr>
              <w:rPr>
                <w:rFonts w:ascii="Cambria Math"/>
                <w:szCs w:val="24"/>
              </w:rPr>
              <m:t>measured</m:t>
            </m:r>
          </m:sub>
        </m:sSub>
        <m:r>
          <m:rPr>
            <m:sty m:val="p"/>
          </m:rPr>
          <w:rPr>
            <w:rFonts w:ascii="Cambria Math"/>
            <w:szCs w:val="24"/>
          </w:rPr>
          <m:t xml:space="preserve"> x </m:t>
        </m:r>
        <m:sSup>
          <m:sSupPr>
            <m:ctrlPr>
              <w:rPr>
                <w:rFonts w:ascii="Cambria Math" w:hAnsi="Cambria Math"/>
                <w:szCs w:val="24"/>
              </w:rPr>
            </m:ctrlPr>
          </m:sSupPr>
          <m:e>
            <m:d>
              <m:dPr>
                <m:ctrlPr>
                  <w:rPr>
                    <w:rFonts w:ascii="Cambria Math" w:hAnsi="Cambria Math"/>
                    <w:szCs w:val="24"/>
                  </w:rPr>
                </m:ctrlPr>
              </m:dPr>
              <m:e>
                <m:f>
                  <m:fPr>
                    <m:ctrlPr>
                      <w:rPr>
                        <w:rFonts w:ascii="Cambria Math" w:hAnsi="Cambria Math"/>
                        <w:i/>
                        <w:szCs w:val="24"/>
                      </w:rPr>
                    </m:ctrlPr>
                  </m:fPr>
                  <m:num>
                    <m:sSub>
                      <m:sSubPr>
                        <m:ctrlPr>
                          <w:rPr>
                            <w:rFonts w:ascii="Cambria Math" w:hAnsi="Cambria Math"/>
                            <w:szCs w:val="24"/>
                          </w:rPr>
                        </m:ctrlPr>
                      </m:sSubPr>
                      <m:e>
                        <m:r>
                          <m:rPr>
                            <m:sty m:val="p"/>
                          </m:rPr>
                          <w:rPr>
                            <w:rFonts w:ascii="Cambria Math"/>
                            <w:szCs w:val="24"/>
                          </w:rPr>
                          <m:t>mAs</m:t>
                        </m:r>
                      </m:e>
                      <m:sub>
                        <m:r>
                          <m:rPr>
                            <m:sty m:val="p"/>
                          </m:rPr>
                          <w:rPr>
                            <w:rFonts w:ascii="Cambria Math"/>
                            <w:szCs w:val="24"/>
                          </w:rPr>
                          <m:t>CDMAM</m:t>
                        </m:r>
                      </m:sub>
                    </m:sSub>
                  </m:num>
                  <m:den>
                    <m:sSub>
                      <m:sSubPr>
                        <m:ctrlPr>
                          <w:rPr>
                            <w:rFonts w:ascii="Cambria Math" w:hAnsi="Cambria Math"/>
                            <w:szCs w:val="24"/>
                          </w:rPr>
                        </m:ctrlPr>
                      </m:sSubPr>
                      <m:e>
                        <m:r>
                          <m:rPr>
                            <m:sty m:val="p"/>
                          </m:rPr>
                          <w:rPr>
                            <w:rFonts w:ascii="Cambria Math"/>
                            <w:szCs w:val="24"/>
                          </w:rPr>
                          <m:t>mAs</m:t>
                        </m:r>
                      </m:e>
                      <m:sub>
                        <m:r>
                          <m:rPr>
                            <m:sty m:val="p"/>
                          </m:rPr>
                          <w:rPr>
                            <w:rFonts w:ascii="Cambria Math"/>
                            <w:szCs w:val="24"/>
                          </w:rPr>
                          <m:t>PMMA</m:t>
                        </m:r>
                      </m:sub>
                    </m:sSub>
                  </m:den>
                </m:f>
              </m:e>
            </m:d>
          </m:e>
          <m:sup>
            <m:r>
              <w:rPr>
                <w:rFonts w:ascii="Cambria Math" w:hAnsi="Cambria Math"/>
                <w:szCs w:val="24"/>
              </w:rPr>
              <m:t>0.5</m:t>
            </m:r>
          </m:sup>
        </m:sSup>
      </m:oMath>
      <w:r w:rsidR="003F47D9">
        <w:rPr>
          <w:rFonts w:ascii="Cambria" w:hAnsi="Cambria"/>
          <w:szCs w:val="24"/>
        </w:rPr>
        <w:tab/>
      </w:r>
      <w:r w:rsidR="003F47D9">
        <w:rPr>
          <w:rFonts w:ascii="Cambria" w:hAnsi="Cambria"/>
          <w:szCs w:val="24"/>
        </w:rPr>
        <w:tab/>
      </w:r>
      <w:r w:rsidR="001D500D">
        <w:rPr>
          <w:rFonts w:ascii="Cambria" w:hAnsi="Cambria"/>
          <w:szCs w:val="24"/>
        </w:rPr>
        <w:tab/>
        <w:t xml:space="preserve">   </w:t>
      </w:r>
      <w:r w:rsidR="001D500D">
        <w:rPr>
          <w:rFonts w:ascii="Cambria" w:hAnsi="Cambria"/>
          <w:szCs w:val="24"/>
        </w:rPr>
        <w:tab/>
      </w:r>
      <w:r w:rsidR="001D500D">
        <w:rPr>
          <w:rFonts w:ascii="Cambria" w:hAnsi="Cambria"/>
          <w:szCs w:val="24"/>
        </w:rPr>
        <w:tab/>
      </w:r>
      <w:r w:rsidR="001D500D">
        <w:rPr>
          <w:rFonts w:ascii="Cambria" w:hAnsi="Cambria"/>
          <w:szCs w:val="24"/>
        </w:rPr>
        <w:tab/>
      </w:r>
      <w:r w:rsidR="001D500D">
        <w:rPr>
          <w:rFonts w:ascii="Cambria" w:hAnsi="Cambria"/>
          <w:szCs w:val="24"/>
        </w:rPr>
        <w:tab/>
      </w:r>
      <w:r w:rsidR="003F47D9" w:rsidRPr="00472335">
        <w:rPr>
          <w:szCs w:val="24"/>
        </w:rPr>
        <w:t>(</w:t>
      </w:r>
      <w:r w:rsidR="003F47D9">
        <w:rPr>
          <w:szCs w:val="24"/>
        </w:rPr>
        <w:t>3</w:t>
      </w:r>
      <w:r w:rsidR="003F47D9" w:rsidRPr="00472335">
        <w:rPr>
          <w:szCs w:val="24"/>
        </w:rPr>
        <w:t>)</w:t>
      </w:r>
    </w:p>
    <w:p w:rsidR="003F47D9" w:rsidRPr="001D500D" w:rsidRDefault="001615D4" w:rsidP="001D500D">
      <w:pPr>
        <w:spacing w:line="720" w:lineRule="auto"/>
        <w:rPr>
          <w:rFonts w:ascii="Cambria" w:hAnsi="Cambria"/>
          <w:szCs w:val="24"/>
        </w:rPr>
      </w:pPr>
      <m:oMath>
        <m:sSub>
          <m:sSubPr>
            <m:ctrlPr>
              <w:rPr>
                <w:rFonts w:ascii="Cambria Math" w:hAnsi="Cambria Math"/>
                <w:szCs w:val="24"/>
              </w:rPr>
            </m:ctrlPr>
          </m:sSubPr>
          <m:e>
            <m:r>
              <m:rPr>
                <m:sty m:val="p"/>
              </m:rPr>
              <w:rPr>
                <w:rFonts w:ascii="Cambria Math"/>
                <w:szCs w:val="24"/>
              </w:rPr>
              <m:t>CNR</m:t>
            </m:r>
          </m:e>
          <m:sub>
            <m:r>
              <m:rPr>
                <m:sty m:val="p"/>
              </m:rPr>
              <w:rPr>
                <w:rFonts w:ascii="Cambria Math"/>
                <w:szCs w:val="24"/>
              </w:rPr>
              <m:t>target</m:t>
            </m:r>
          </m:sub>
        </m:sSub>
        <m:r>
          <m:rPr>
            <m:sty m:val="p"/>
          </m:rPr>
          <w:rPr>
            <w:rFonts w:ascii="Cambria Math"/>
            <w:szCs w:val="24"/>
          </w:rPr>
          <m:t>=</m:t>
        </m:r>
        <m:f>
          <m:fPr>
            <m:ctrlPr>
              <w:rPr>
                <w:rFonts w:ascii="Cambria Math" w:hAnsi="Cambria Math"/>
                <w:szCs w:val="24"/>
              </w:rPr>
            </m:ctrlPr>
          </m:fPr>
          <m:num>
            <m:sSub>
              <m:sSubPr>
                <m:ctrlPr>
                  <w:rPr>
                    <w:rFonts w:ascii="Cambria Math" w:hAnsi="Cambria Math"/>
                    <w:szCs w:val="24"/>
                  </w:rPr>
                </m:ctrlPr>
              </m:sSubPr>
              <m:e>
                <m:r>
                  <m:rPr>
                    <m:sty m:val="p"/>
                  </m:rPr>
                  <w:rPr>
                    <w:rFonts w:ascii="Cambria Math"/>
                    <w:szCs w:val="24"/>
                  </w:rPr>
                  <m:t>CNR</m:t>
                </m:r>
              </m:e>
              <m:sub>
                <m:r>
                  <m:rPr>
                    <m:sty m:val="p"/>
                  </m:rPr>
                  <w:rPr>
                    <w:rFonts w:ascii="Cambria Math"/>
                    <w:szCs w:val="24"/>
                  </w:rPr>
                  <m:t>corrected</m:t>
                </m:r>
              </m:sub>
            </m:sSub>
            <m:r>
              <m:rPr>
                <m:sty m:val="p"/>
              </m:rPr>
              <w:rPr>
                <w:rFonts w:ascii="Cambria Math"/>
                <w:szCs w:val="24"/>
              </w:rPr>
              <m:t xml:space="preserve"> </m:t>
            </m:r>
            <m:r>
              <m:rPr>
                <m:sty m:val="p"/>
              </m:rPr>
              <w:rPr>
                <w:rFonts w:ascii="Cambria Math"/>
                <w:szCs w:val="24"/>
              </w:rPr>
              <m:t>×</m:t>
            </m:r>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TC</m:t>
                </m:r>
              </m:e>
              <m:sub>
                <m:r>
                  <m:rPr>
                    <m:sty m:val="p"/>
                  </m:rPr>
                  <w:rPr>
                    <w:rFonts w:ascii="Cambria Math"/>
                    <w:szCs w:val="24"/>
                  </w:rPr>
                  <m:t>measured</m:t>
                </m:r>
              </m:sub>
            </m:sSub>
          </m:num>
          <m:den>
            <m:sSub>
              <m:sSubPr>
                <m:ctrlPr>
                  <w:rPr>
                    <w:rFonts w:ascii="Cambria Math" w:hAnsi="Cambria Math"/>
                    <w:szCs w:val="24"/>
                  </w:rPr>
                </m:ctrlPr>
              </m:sSubPr>
              <m:e>
                <m:r>
                  <m:rPr>
                    <m:sty m:val="p"/>
                  </m:rPr>
                  <w:rPr>
                    <w:rFonts w:ascii="Cambria Math"/>
                    <w:szCs w:val="24"/>
                  </w:rPr>
                  <m:t>TC</m:t>
                </m:r>
              </m:e>
              <m:sub>
                <m:r>
                  <m:rPr>
                    <m:sty m:val="p"/>
                  </m:rPr>
                  <w:rPr>
                    <w:rFonts w:ascii="Cambria Math"/>
                    <w:szCs w:val="24"/>
                  </w:rPr>
                  <m:t>target</m:t>
                </m:r>
              </m:sub>
            </m:sSub>
          </m:den>
        </m:f>
      </m:oMath>
      <w:r w:rsidR="001D500D">
        <w:rPr>
          <w:rFonts w:ascii="Cambria" w:hAnsi="Cambria"/>
          <w:szCs w:val="24"/>
        </w:rPr>
        <w:tab/>
      </w:r>
      <w:r w:rsidR="001D500D">
        <w:rPr>
          <w:rFonts w:ascii="Cambria" w:hAnsi="Cambria"/>
          <w:szCs w:val="24"/>
        </w:rPr>
        <w:tab/>
      </w:r>
      <w:r w:rsidR="001D500D" w:rsidRPr="00AC3422">
        <w:rPr>
          <w:rFonts w:ascii="Cambria" w:hAnsi="Cambria"/>
          <w:szCs w:val="24"/>
        </w:rPr>
        <w:tab/>
        <w:t xml:space="preserve">   </w:t>
      </w:r>
      <w:r w:rsidR="001D500D" w:rsidRPr="00AC3422">
        <w:rPr>
          <w:rFonts w:ascii="Cambria" w:hAnsi="Cambria"/>
          <w:szCs w:val="24"/>
        </w:rPr>
        <w:tab/>
      </w:r>
      <w:r w:rsidR="001D500D" w:rsidRPr="00AC3422">
        <w:rPr>
          <w:rFonts w:ascii="Cambria" w:hAnsi="Cambria"/>
          <w:szCs w:val="24"/>
        </w:rPr>
        <w:tab/>
      </w:r>
      <w:r w:rsidR="001D500D" w:rsidRPr="00AC3422">
        <w:rPr>
          <w:rFonts w:ascii="Cambria" w:hAnsi="Cambria"/>
          <w:szCs w:val="24"/>
        </w:rPr>
        <w:tab/>
      </w:r>
      <w:r w:rsidR="001D500D" w:rsidRPr="00AC3422">
        <w:rPr>
          <w:rFonts w:ascii="Cambria" w:hAnsi="Cambria"/>
          <w:szCs w:val="24"/>
        </w:rPr>
        <w:tab/>
      </w:r>
      <w:r w:rsidR="001D500D" w:rsidRPr="00AC3422">
        <w:rPr>
          <w:rFonts w:ascii="Cambria" w:hAnsi="Cambria"/>
          <w:szCs w:val="24"/>
        </w:rPr>
        <w:tab/>
      </w:r>
      <w:r w:rsidR="001D500D" w:rsidRPr="00472335">
        <w:rPr>
          <w:szCs w:val="24"/>
        </w:rPr>
        <w:t>(</w:t>
      </w:r>
      <w:r w:rsidR="001D500D">
        <w:rPr>
          <w:szCs w:val="24"/>
        </w:rPr>
        <w:t>4</w:t>
      </w:r>
      <w:r w:rsidR="001D500D" w:rsidRPr="00472335">
        <w:rPr>
          <w:szCs w:val="24"/>
        </w:rPr>
        <w:t>)</w:t>
      </w:r>
    </w:p>
    <w:p w:rsidR="003F47D9" w:rsidRPr="001D0370" w:rsidRDefault="001D500D">
      <w:pPr>
        <w:rPr>
          <w:b/>
        </w:rPr>
      </w:pPr>
      <w:proofErr w:type="gramStart"/>
      <w:r w:rsidRPr="001D0370">
        <w:rPr>
          <w:b/>
        </w:rPr>
        <w:t xml:space="preserve">Prepared by Ken Young at NCCPM on </w:t>
      </w:r>
      <w:r w:rsidR="001615D4">
        <w:rPr>
          <w:b/>
        </w:rPr>
        <w:t>28th</w:t>
      </w:r>
      <w:r w:rsidRPr="001D0370">
        <w:rPr>
          <w:b/>
        </w:rPr>
        <w:t xml:space="preserve"> </w:t>
      </w:r>
      <w:r w:rsidR="001615D4">
        <w:rPr>
          <w:b/>
        </w:rPr>
        <w:t>March 2017</w:t>
      </w:r>
      <w:r w:rsidRPr="001D0370">
        <w:rPr>
          <w:b/>
        </w:rPr>
        <w:t>.</w:t>
      </w:r>
      <w:proofErr w:type="gramEnd"/>
    </w:p>
    <w:p w:rsidR="001D500D" w:rsidRDefault="001D500D"/>
    <w:p w:rsidR="00E02B2B" w:rsidRDefault="00E02B2B">
      <w:r>
        <w:t>REFERENCES</w:t>
      </w:r>
    </w:p>
    <w:p w:rsidR="00E02B2B" w:rsidRDefault="00E02B2B" w:rsidP="00C63B06">
      <w:pPr>
        <w:pStyle w:val="ListParagraph"/>
        <w:numPr>
          <w:ilvl w:val="0"/>
          <w:numId w:val="2"/>
        </w:numPr>
        <w:spacing w:before="240" w:after="240"/>
        <w:ind w:left="714" w:hanging="357"/>
        <w:jc w:val="both"/>
        <w:rPr>
          <w:rFonts w:cs="Times New Roman"/>
          <w:szCs w:val="24"/>
        </w:rPr>
      </w:pPr>
      <w:r w:rsidRPr="00E02B2B">
        <w:rPr>
          <w:rFonts w:cs="Times New Roman"/>
          <w:szCs w:val="24"/>
          <w:lang w:val="nl-NL"/>
        </w:rPr>
        <w:t xml:space="preserve">Van Engen R, Young KC, Bosmans H, et al. </w:t>
      </w:r>
      <w:r w:rsidRPr="00E02B2B">
        <w:rPr>
          <w:rFonts w:cs="Times New Roman"/>
          <w:szCs w:val="24"/>
        </w:rPr>
        <w:t xml:space="preserve">The European protocol for the quality control of the physical and technical aspects of mammography screening.  In: </w:t>
      </w:r>
      <w:r w:rsidRPr="00E02B2B">
        <w:rPr>
          <w:rFonts w:cs="Times New Roman"/>
          <w:i/>
          <w:szCs w:val="24"/>
        </w:rPr>
        <w:t>European Guidelines for Quality Assurance in Breast Cancer Screening and Diagnosis</w:t>
      </w:r>
      <w:r w:rsidRPr="00E02B2B">
        <w:rPr>
          <w:rFonts w:cs="Times New Roman"/>
          <w:szCs w:val="24"/>
        </w:rPr>
        <w:t>, 4th Edition, Luxembourg: European Commission, 2006.</w:t>
      </w:r>
    </w:p>
    <w:p w:rsidR="00C63B06" w:rsidRPr="00C63B06" w:rsidRDefault="00C63B06" w:rsidP="00C63B06">
      <w:pPr>
        <w:pStyle w:val="ListParagraph"/>
        <w:numPr>
          <w:ilvl w:val="0"/>
          <w:numId w:val="2"/>
        </w:numPr>
        <w:spacing w:before="240" w:after="240"/>
        <w:ind w:left="714" w:hanging="357"/>
        <w:jc w:val="both"/>
        <w:rPr>
          <w:rFonts w:cs="Times New Roman"/>
          <w:szCs w:val="24"/>
        </w:rPr>
      </w:pPr>
      <w:proofErr w:type="gramStart"/>
      <w:r>
        <w:rPr>
          <w:szCs w:val="24"/>
        </w:rPr>
        <w:t>van</w:t>
      </w:r>
      <w:proofErr w:type="gramEnd"/>
      <w:r>
        <w:rPr>
          <w:szCs w:val="24"/>
        </w:rPr>
        <w:t xml:space="preserve"> Engen R, Bosmans H, Dance D et al. Digital mammography update: European protocol for the quality control of the physical and technical aspects of mammography screening. In: </w:t>
      </w:r>
      <w:r w:rsidRPr="004A0F11">
        <w:rPr>
          <w:i/>
          <w:szCs w:val="24"/>
        </w:rPr>
        <w:t>European guidelines for quality assurance in breast cancer screening and diagnosis,</w:t>
      </w:r>
      <w:r>
        <w:rPr>
          <w:szCs w:val="24"/>
        </w:rPr>
        <w:t xml:space="preserve"> Fourth edition – Supplements.  Luxembourg: European Commission, 2013.</w:t>
      </w:r>
    </w:p>
    <w:p w:rsidR="00C63B06" w:rsidRDefault="00C63B06" w:rsidP="00C63B06">
      <w:pPr>
        <w:pStyle w:val="ListParagraph"/>
        <w:numPr>
          <w:ilvl w:val="0"/>
          <w:numId w:val="2"/>
        </w:numPr>
        <w:spacing w:before="240" w:after="240"/>
        <w:ind w:left="714" w:hanging="357"/>
        <w:jc w:val="both"/>
      </w:pPr>
      <w:r w:rsidRPr="00C63B06">
        <w:rPr>
          <w:rFonts w:cs="Times New Roman"/>
          <w:szCs w:val="24"/>
          <w:lang w:val="sv-SE"/>
        </w:rPr>
        <w:t xml:space="preserve">Workman A, Castellano I, Kulama E et al. </w:t>
      </w:r>
      <w:r w:rsidRPr="00C63B06">
        <w:rPr>
          <w:rFonts w:cs="Times New Roman"/>
          <w:i/>
          <w:szCs w:val="24"/>
        </w:rPr>
        <w:t xml:space="preserve">Commissioning and Routine Testing of Full Field Digital Mammography Systems </w:t>
      </w:r>
      <w:r w:rsidRPr="00C63B06">
        <w:rPr>
          <w:rFonts w:cs="Times New Roman"/>
          <w:szCs w:val="24"/>
        </w:rPr>
        <w:t>(NHSBSP Equipment Report 0604)</w:t>
      </w:r>
      <w:r w:rsidRPr="00C63B06">
        <w:rPr>
          <w:rFonts w:cs="Times New Roman"/>
          <w:i/>
          <w:szCs w:val="24"/>
        </w:rPr>
        <w:t>.</w:t>
      </w:r>
      <w:r w:rsidRPr="00C63B06">
        <w:rPr>
          <w:rFonts w:cs="Times New Roman"/>
          <w:szCs w:val="24"/>
        </w:rPr>
        <w:t xml:space="preserve"> Sheffield: NHS Cancer Screening Programmes, 2006.</w:t>
      </w:r>
    </w:p>
    <w:p w:rsidR="00C63B06" w:rsidRPr="00C63B06" w:rsidRDefault="00C63B06" w:rsidP="00E02B2B">
      <w:pPr>
        <w:pStyle w:val="ListParagraph"/>
        <w:numPr>
          <w:ilvl w:val="0"/>
          <w:numId w:val="2"/>
        </w:numPr>
        <w:jc w:val="both"/>
        <w:rPr>
          <w:rFonts w:cs="Times New Roman"/>
          <w:szCs w:val="24"/>
        </w:rPr>
      </w:pPr>
      <w:r w:rsidRPr="009421BE">
        <w:rPr>
          <w:szCs w:val="24"/>
        </w:rPr>
        <w:t xml:space="preserve">Boone JM, </w:t>
      </w:r>
      <w:proofErr w:type="spellStart"/>
      <w:r w:rsidRPr="009421BE">
        <w:rPr>
          <w:szCs w:val="24"/>
        </w:rPr>
        <w:t>Fewell</w:t>
      </w:r>
      <w:proofErr w:type="spellEnd"/>
      <w:r w:rsidRPr="009421BE">
        <w:rPr>
          <w:szCs w:val="24"/>
        </w:rPr>
        <w:t xml:space="preserve"> TR and Jennings RJ.  Molybdenum, rhodium and tungsten anode spectral models using interpolating polynomials with application to mammography </w:t>
      </w:r>
      <w:r w:rsidRPr="009421BE">
        <w:rPr>
          <w:i/>
          <w:szCs w:val="24"/>
        </w:rPr>
        <w:t>Medical Physics,</w:t>
      </w:r>
      <w:r w:rsidRPr="009421BE">
        <w:rPr>
          <w:szCs w:val="24"/>
        </w:rPr>
        <w:t xml:space="preserve"> 1997, 24: 1863-1974.</w:t>
      </w:r>
    </w:p>
    <w:p w:rsidR="00C63B06" w:rsidRPr="00E02B2B" w:rsidRDefault="00C63B06" w:rsidP="00E02B2B">
      <w:pPr>
        <w:pStyle w:val="ListParagraph"/>
        <w:numPr>
          <w:ilvl w:val="0"/>
          <w:numId w:val="2"/>
        </w:numPr>
        <w:jc w:val="both"/>
        <w:rPr>
          <w:rFonts w:cs="Times New Roman"/>
          <w:szCs w:val="24"/>
        </w:rPr>
      </w:pPr>
      <w:r w:rsidRPr="009421BE">
        <w:rPr>
          <w:szCs w:val="24"/>
        </w:rPr>
        <w:t xml:space="preserve">Berger MJ, Hubbell JH, Seltzer SM Chang et al.  XCOM: Photon Cross Section Database (version 1.3) </w:t>
      </w:r>
      <w:hyperlink r:id="rId6" w:history="1">
        <w:r w:rsidRPr="009421BE">
          <w:rPr>
            <w:szCs w:val="24"/>
          </w:rPr>
          <w:t>http://physics.nist.gov/xcom</w:t>
        </w:r>
      </w:hyperlink>
      <w:r w:rsidRPr="009421BE">
        <w:rPr>
          <w:szCs w:val="24"/>
        </w:rPr>
        <w:t xml:space="preserve"> (Gaithersburg, MD, National Institute of Standards and Technology), 2005.</w:t>
      </w:r>
    </w:p>
    <w:p w:rsidR="00E02B2B" w:rsidRDefault="00E02B2B"/>
    <w:p w:rsidR="00490AB9" w:rsidRDefault="00490AB9"/>
    <w:p w:rsidR="00490AB9" w:rsidRDefault="00490AB9"/>
    <w:sectPr w:rsidR="00490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0975"/>
    <w:multiLevelType w:val="hybridMultilevel"/>
    <w:tmpl w:val="2F5C4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543A4B"/>
    <w:multiLevelType w:val="multilevel"/>
    <w:tmpl w:val="09FEB7A0"/>
    <w:lvl w:ilvl="0">
      <w:start w:val="1"/>
      <w:numFmt w:val="decimal"/>
      <w:lvlText w:val="%1."/>
      <w:lvlJc w:val="left"/>
      <w:pPr>
        <w:ind w:left="720" w:hanging="720"/>
      </w:pPr>
      <w:rPr>
        <w:rFonts w:ascii="Arial" w:eastAsia="Times New Roman" w:hAnsi="Arial" w:cs="Times New Roman"/>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B9"/>
    <w:rsid w:val="00052A7C"/>
    <w:rsid w:val="001615D4"/>
    <w:rsid w:val="001D0370"/>
    <w:rsid w:val="001D500D"/>
    <w:rsid w:val="00220123"/>
    <w:rsid w:val="0029307D"/>
    <w:rsid w:val="003D0205"/>
    <w:rsid w:val="003F47D9"/>
    <w:rsid w:val="00490AB9"/>
    <w:rsid w:val="004A4571"/>
    <w:rsid w:val="005068E7"/>
    <w:rsid w:val="00C63B06"/>
    <w:rsid w:val="00E02B2B"/>
    <w:rsid w:val="00E8685B"/>
    <w:rsid w:val="00ED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uiPriority w:val="99"/>
    <w:rsid w:val="00490AB9"/>
    <w:pPr>
      <w:spacing w:after="360" w:line="320" w:lineRule="exact"/>
      <w:ind w:right="794"/>
    </w:pPr>
    <w:rPr>
      <w:rFonts w:ascii="Arial" w:eastAsia="Times New Roman" w:hAnsi="Arial" w:cs="Times New Roman"/>
      <w:sz w:val="24"/>
      <w:szCs w:val="20"/>
      <w:lang w:eastAsia="en-GB"/>
    </w:rPr>
  </w:style>
  <w:style w:type="paragraph" w:customStyle="1" w:styleId="PHESecondaryHeadingOne">
    <w:name w:val="PHE Secondary Heading One"/>
    <w:basedOn w:val="Normal"/>
    <w:uiPriority w:val="99"/>
    <w:rsid w:val="00490AB9"/>
    <w:pPr>
      <w:spacing w:after="320" w:line="360" w:lineRule="exact"/>
    </w:pPr>
    <w:rPr>
      <w:rFonts w:ascii="Arial" w:eastAsia="Times New Roman" w:hAnsi="Arial" w:cs="Times New Roman"/>
      <w:color w:val="98002E"/>
      <w:sz w:val="28"/>
      <w:szCs w:val="20"/>
    </w:rPr>
  </w:style>
  <w:style w:type="paragraph" w:styleId="BalloonText">
    <w:name w:val="Balloon Text"/>
    <w:basedOn w:val="Normal"/>
    <w:link w:val="BalloonTextChar"/>
    <w:uiPriority w:val="99"/>
    <w:semiHidden/>
    <w:unhideWhenUsed/>
    <w:rsid w:val="00490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B9"/>
    <w:rPr>
      <w:rFonts w:ascii="Tahoma" w:hAnsi="Tahoma" w:cs="Tahoma"/>
      <w:sz w:val="16"/>
      <w:szCs w:val="16"/>
    </w:rPr>
  </w:style>
  <w:style w:type="paragraph" w:styleId="ListParagraph">
    <w:name w:val="List Paragraph"/>
    <w:basedOn w:val="Normal"/>
    <w:uiPriority w:val="34"/>
    <w:qFormat/>
    <w:rsid w:val="00E02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uiPriority w:val="99"/>
    <w:rsid w:val="00490AB9"/>
    <w:pPr>
      <w:spacing w:after="360" w:line="320" w:lineRule="exact"/>
      <w:ind w:right="794"/>
    </w:pPr>
    <w:rPr>
      <w:rFonts w:ascii="Arial" w:eastAsia="Times New Roman" w:hAnsi="Arial" w:cs="Times New Roman"/>
      <w:sz w:val="24"/>
      <w:szCs w:val="20"/>
      <w:lang w:eastAsia="en-GB"/>
    </w:rPr>
  </w:style>
  <w:style w:type="paragraph" w:customStyle="1" w:styleId="PHESecondaryHeadingOne">
    <w:name w:val="PHE Secondary Heading One"/>
    <w:basedOn w:val="Normal"/>
    <w:uiPriority w:val="99"/>
    <w:rsid w:val="00490AB9"/>
    <w:pPr>
      <w:spacing w:after="320" w:line="360" w:lineRule="exact"/>
    </w:pPr>
    <w:rPr>
      <w:rFonts w:ascii="Arial" w:eastAsia="Times New Roman" w:hAnsi="Arial" w:cs="Times New Roman"/>
      <w:color w:val="98002E"/>
      <w:sz w:val="28"/>
      <w:szCs w:val="20"/>
    </w:rPr>
  </w:style>
  <w:style w:type="paragraph" w:styleId="BalloonText">
    <w:name w:val="Balloon Text"/>
    <w:basedOn w:val="Normal"/>
    <w:link w:val="BalloonTextChar"/>
    <w:uiPriority w:val="99"/>
    <w:semiHidden/>
    <w:unhideWhenUsed/>
    <w:rsid w:val="00490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B9"/>
    <w:rPr>
      <w:rFonts w:ascii="Tahoma" w:hAnsi="Tahoma" w:cs="Tahoma"/>
      <w:sz w:val="16"/>
      <w:szCs w:val="16"/>
    </w:rPr>
  </w:style>
  <w:style w:type="paragraph" w:styleId="ListParagraph">
    <w:name w:val="List Paragraph"/>
    <w:basedOn w:val="Normal"/>
    <w:uiPriority w:val="34"/>
    <w:qFormat/>
    <w:rsid w:val="00E0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ysics.nist.gov/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dc:creator>
  <cp:lastModifiedBy>Young</cp:lastModifiedBy>
  <cp:revision>2</cp:revision>
  <cp:lastPrinted>2015-07-01T14:57:00Z</cp:lastPrinted>
  <dcterms:created xsi:type="dcterms:W3CDTF">2017-03-28T11:13:00Z</dcterms:created>
  <dcterms:modified xsi:type="dcterms:W3CDTF">2017-03-28T11:13:00Z</dcterms:modified>
</cp:coreProperties>
</file>